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25 vom 15. März 2010</w:t>
      </w:r>
    </w:p>
    <w:p>
      <w:r>
        <w:t>GR Gerichte, 2010-03-15, DE</w:t>
      </w:r>
    </w:p>
    <w:p>
      <w:r>
        <w:rPr>
          <w:b/>
        </w:rPr>
        <w:t xml:space="preserve">Quelle: </w:t>
      </w:r>
      <w:r>
        <w:t>https://mcp.opencaselaw.ch/entscheid/gr_gerichte_ERZ 2010 25</w:t>
      </w:r>
    </w:p>
    <w:p>
      <w:r>
        <w:t>FR: GR_GERICHTE ERZ 2010 25 du 15 mars 2010</w:t>
      </w:r>
    </w:p>
    <w:p>
      <w:r>
        <w:t>IT: GR_GERICHTE ERZ 2010 25 del 15 marzo 2010</w:t>
      </w:r>
    </w:p>
    <w:p>
      <w:pPr>
        <w:pStyle w:val="Heading2"/>
      </w:pPr>
      <w:r>
        <w:t>Regeste</w:t>
      </w:r>
    </w:p>
    <w:p>
      <w:r>
        <w:t>Ausweisung bei Miete | Amtsbefehl/Amtsverbot ZPO/GR 152/154</w:t>
      </w:r>
    </w:p>
    <w:p>
      <w:pPr>
        <w:pStyle w:val="Heading2"/>
      </w:pPr>
      <w:r>
        <w:t>Erwägungen</w:t>
      </w:r>
    </w:p>
    <w:p>
      <w:r>
        <w:rPr>
          <w:b/>
        </w:rPr>
        <w:t>E. 11</w:t>
      </w:r>
    </w:p>
    <w:p>
      <w:r>
        <w:t>B. stellt in seiner Beschwerde – wie bereits in seinem Gesuch vom 30. November 2009 an den Kreispräsidenten Klosters - ferner das Rechtsbegehren, es sei einerseits eine kreisamtliche Abnahme des Pachtobjekts und eine Inventaraufnahme anzuordnen und andererseits sei die HotRest Inventar AG anzuweisen, das Kleininventar im Pachtobjekt aufzunehmen. Diese Begehren stellen ein Gesuch um Sicherstellung eines gefährdeten Beweises im Sinne von Art. 209 ff. ZPO dar. Gemäss Art. 210 Abs. 2 ZPO ist das Gesuch um Sicherstellung eines gefährdeten Beweises im Sinne von Art. 209 ff. ZPO in den Fällen, in denen die Streitsache noch nicht beim Sachrichter anhängig ist, an den Präsidenten des Kreises zu richten, in dem sich der fragliche Zeuge oder Gegenstand befindet (Art. 210 Abs. 2 ZPO). Der Kreispräsident-Stellvertreter ist in seinem Entscheid vom 26. Januar 2010 zum Schluss gekommen, die Kündigung sei unzulässig und nichtig. Dieser Entscheid hat zur Folge, dass auch eine Ausweisung bei Miete und Pacht im Sinne von Art. 146 Abs. 1 Ziff. 3 ZPO ausser Betracht fällt, da gemäss Art. 267 Abs. 1 OR die Rückgabe des Mietobjektes auf das Ende des Mietverhältnisses zu erfolgen hat, wobei der massgebende Zeitpunkt zur Rückgabe, welcher auch die Fälligkeit der Rückgabeleistung bewirkt, der Tag ist, an welchem das Mietverhältnis endet. Der Kreispräsident-Stellvertreter Klosters hat sich in Folge dessen mit der Art und Weise der Rückgabe des Mietobjektes noch nicht gerichtlich auseinandergesetzt. Der Einzelrichter am Kantonsgericht ist jedoch gemäss Art. 212 Abs. 2 ZPO lediglich Rechtsmittelinstanz, weshalb es sich rechtfertigt, über diese Anträge zunächst den Kreispräsidenten entscheiden zu lassen, da er ohnehin bei Gutheissung des Gesuchs um Ausweisung im Sinne von Art. 145 ff. ZPO für den Vollzug zuständig ist. Auf diese Begehren ist daher im vorliegenden Beschwerdeverfahren nicht einzutreten. 12.a) Gemäss Art. 122 Abs. 1 ZPO wird in der Regel die unterliegende Partei zur Übernahme sämtlicher Kosten des Verfahrens verpflichtet. Hat keine Partei vollständig obsiegt, können die Kosten verhältnismässig verteilt werden. Die Beschwerführerin dringt im Hauptpunkt ihrer Beschwerde durch und unterliegt lediglich in Nebenpunkten. Es rechtfertigt sich daher, die Kosten des Beschwerdeverfahrens zu 5/6 dem Beschwerdegegner und zu 1/6 der Beschwerdeführerin aufzuerlegen. Aussergerichtlich hat der Beschwerdegegner die Beschwerdeführerin im gleichen Verhältnis zu entschädigen, wobei der geltend gemachte Gesamtaufwand von 12.30 Stunden zuzüglich Barauslagen und Mehrwertsteuern als angemessen erscheint. Vom geltend gemachten Honorar von</w:t>
      </w:r>
    </w:p>
    <w:p>
      <w:r>
        <w:t>Seite 19 — 21 Fr. 3'271.65 sind somit 4/6, das heisst Fr. 2'181.10, vom Beschwerdegegner zu entschädigen. b) Berücksichtigt man den Ausgang des Beschwerdeverfahrens bei der Festlegung der Kosten des kreisamtlichen Verfahrens, so kann bezüglich des erstinstanzlichen Verfahren nicht von einem teilweisen Unterliegen der Gesuchstellerin ausgegangen werde, da der Kreispräsident die Begehren um Sicherstellung eines gefährdeten Beweises gar nicht beurteilt hat und ein Gesuch um Sicherheitsleistung gar nicht gestellt wurde. Die Kosten des Kreisamtes Klosters gehen somit gänzlich zulasten des Gesuchsgegners, welcher die Gesuchstellerin aussergerichtlich vollumfänglich zu entschädigen hat. Der für dieses Verfahren geltend gemachte Anspruch von Fr. 1'329.95 (inkl. MwSt.) erweist sich dabei als angemessen.</w:t>
      </w:r>
    </w:p>
    <w:p>
      <w:r>
        <w:t>Seite 20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